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BFA" w:rsidRDefault="00E55BFA">
      <w:r>
        <w:t>California Association of Clerks and Election Officials</w:t>
      </w:r>
    </w:p>
    <w:p w:rsidR="00AC3A0B" w:rsidRDefault="0095640D">
      <w:r>
        <w:t>Conflict of Interest Policy</w:t>
      </w:r>
    </w:p>
    <w:p w:rsidR="00E55BFA" w:rsidRDefault="00E55BFA"/>
    <w:p w:rsidR="00E55BFA" w:rsidRDefault="00E55BFA">
      <w:r>
        <w:t>Adopted by the Board of Directors:  July 17, 2012</w:t>
      </w:r>
    </w:p>
    <w:p w:rsidR="00E55BFA" w:rsidRDefault="00E55BFA">
      <w:bookmarkStart w:id="0" w:name="_GoBack"/>
      <w:bookmarkEnd w:id="0"/>
    </w:p>
    <w:p w:rsidR="0095640D" w:rsidRDefault="0095640D">
      <w:r>
        <w:t xml:space="preserve">This Conflict of Interest Policy of the California Association of Clerks and Election Officials: (1) defines </w:t>
      </w:r>
      <w:r w:rsidR="00E55BFA">
        <w:t>conflicts</w:t>
      </w:r>
      <w:r>
        <w:t xml:space="preserve"> of interest; (2) identifies classes of individuals </w:t>
      </w:r>
      <w:r w:rsidR="00E55BFA">
        <w:t>within</w:t>
      </w:r>
      <w:r>
        <w:t xml:space="preserve"> the association covered by this policy; (3) </w:t>
      </w:r>
      <w:r w:rsidR="00E55BFA">
        <w:t>facilitates</w:t>
      </w:r>
      <w:r>
        <w:t xml:space="preserve"> </w:t>
      </w:r>
      <w:r w:rsidR="00E55BFA">
        <w:t>disclosure</w:t>
      </w:r>
      <w:r>
        <w:t xml:space="preserve"> of information that may help identify conflicts of interest; and (4) specifies procedures to be followed in managing conflicts of interest.</w:t>
      </w:r>
    </w:p>
    <w:p w:rsidR="0095640D" w:rsidRDefault="0095640D"/>
    <w:p w:rsidR="0095640D" w:rsidRDefault="0095640D" w:rsidP="0095640D">
      <w:pPr>
        <w:pStyle w:val="ListParagraph"/>
        <w:numPr>
          <w:ilvl w:val="0"/>
          <w:numId w:val="1"/>
        </w:numPr>
      </w:pPr>
      <w:r w:rsidRPr="0095640D">
        <w:rPr>
          <w:b/>
        </w:rPr>
        <w:t xml:space="preserve">Definition of conflicts of </w:t>
      </w:r>
      <w:r w:rsidR="00E55BFA" w:rsidRPr="0095640D">
        <w:rPr>
          <w:b/>
        </w:rPr>
        <w:t>interest</w:t>
      </w:r>
      <w:r w:rsidRPr="0095640D">
        <w:rPr>
          <w:b/>
        </w:rPr>
        <w:t>.</w:t>
      </w:r>
      <w:r>
        <w:t xml:space="preserve">  A conflict of interest arises when a person in a position of authority over the association may benefit </w:t>
      </w:r>
      <w:r w:rsidR="00E55BFA">
        <w:t>financially</w:t>
      </w:r>
      <w:r>
        <w:t xml:space="preserve"> from a decision he or she could make in that capacity, including indirect benefits such as to family </w:t>
      </w:r>
      <w:r w:rsidR="00E55BFA">
        <w:t>members</w:t>
      </w:r>
      <w:r>
        <w:t xml:space="preserve"> or businesses with which the person is closely associated.   This policy is focused upon material </w:t>
      </w:r>
      <w:r w:rsidR="00E55BFA">
        <w:t>financial</w:t>
      </w:r>
      <w:r>
        <w:t xml:space="preserve"> interest of, or benefit to, such persons.</w:t>
      </w:r>
    </w:p>
    <w:p w:rsidR="0095640D" w:rsidRDefault="0095640D" w:rsidP="0095640D"/>
    <w:p w:rsidR="0095640D" w:rsidRDefault="00E55BFA" w:rsidP="00E55BFA">
      <w:pPr>
        <w:pStyle w:val="ListParagraph"/>
        <w:numPr>
          <w:ilvl w:val="0"/>
          <w:numId w:val="1"/>
        </w:numPr>
      </w:pPr>
      <w:r w:rsidRPr="00E55BFA">
        <w:rPr>
          <w:b/>
        </w:rPr>
        <w:t xml:space="preserve">Individuals covered. </w:t>
      </w:r>
      <w:r>
        <w:rPr>
          <w:b/>
        </w:rPr>
        <w:t xml:space="preserve"> </w:t>
      </w:r>
      <w:r>
        <w:t>Persons covered by this policy are the association’s officers and directors.</w:t>
      </w:r>
    </w:p>
    <w:p w:rsidR="00E55BFA" w:rsidRDefault="00E55BFA" w:rsidP="00E55BFA"/>
    <w:p w:rsidR="00E55BFA" w:rsidRDefault="00E55BFA" w:rsidP="00E55BFA">
      <w:pPr>
        <w:pStyle w:val="ListParagraph"/>
        <w:numPr>
          <w:ilvl w:val="0"/>
          <w:numId w:val="1"/>
        </w:numPr>
      </w:pPr>
      <w:r>
        <w:rPr>
          <w:b/>
        </w:rPr>
        <w:t xml:space="preserve">Facilitation of disclosure.  </w:t>
      </w:r>
      <w:r>
        <w:t>Persons covered by this policy will disclose or update to the President of the Association at the Annual Meeting their interests that could give rise to conflicts of interest, such as a list of family members, substantial business or investment holdings, and other transactions or affiliations with businesses and other organizations or those of family members.</w:t>
      </w:r>
    </w:p>
    <w:p w:rsidR="00E55BFA" w:rsidRPr="00E55BFA" w:rsidRDefault="00E55BFA" w:rsidP="00E55BFA">
      <w:pPr>
        <w:rPr>
          <w:b/>
        </w:rPr>
      </w:pPr>
    </w:p>
    <w:p w:rsidR="00E55BFA" w:rsidRPr="00E55BFA" w:rsidRDefault="00E55BFA" w:rsidP="00E55BFA">
      <w:pPr>
        <w:pStyle w:val="ListParagraph"/>
        <w:numPr>
          <w:ilvl w:val="0"/>
          <w:numId w:val="1"/>
        </w:numPr>
      </w:pPr>
      <w:r>
        <w:rPr>
          <w:b/>
        </w:rPr>
        <w:t xml:space="preserve">Procedures to manage conflicts.  </w:t>
      </w:r>
      <w:r>
        <w:t>For each interest disclosed to the President, the President will determine whether to: (a) take no action; (b) assure full disclosure to the Board of Directors and other individuals covered by this policy; (c) ask the person to recuse themselves from participation in related discussions or decisions within the association; or (d) ask the person to resign from his or her position in the association or, if the person refuses to resign, become subject to possible removal in accordance with the association’s removal procedures.  The association’s President and/or officers will monitor proposed or ongoing transactions for conflicts of interest and disclose them to the President in order to deal with potential or actual conflicts, whether discovered before or after the transaction has occurred.</w:t>
      </w:r>
      <w:r>
        <w:rPr>
          <w:b/>
        </w:rPr>
        <w:t xml:space="preserve">  </w:t>
      </w:r>
    </w:p>
    <w:sectPr w:rsidR="00E55BFA" w:rsidRPr="00E55BFA" w:rsidSect="003D558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A86FEC"/>
    <w:multiLevelType w:val="hybridMultilevel"/>
    <w:tmpl w:val="A7BE9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40D"/>
    <w:rsid w:val="003D5581"/>
    <w:rsid w:val="0095640D"/>
    <w:rsid w:val="00AC3A0B"/>
    <w:rsid w:val="00E55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FA37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40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4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337</Words>
  <Characters>1925</Characters>
  <Application>Microsoft Macintosh Word</Application>
  <DocSecurity>0</DocSecurity>
  <Lines>16</Lines>
  <Paragraphs>4</Paragraphs>
  <ScaleCrop>false</ScaleCrop>
  <Company>ROV</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Kelley</dc:creator>
  <cp:keywords/>
  <dc:description/>
  <cp:lastModifiedBy>Neal Kelley</cp:lastModifiedBy>
  <cp:revision>1</cp:revision>
  <dcterms:created xsi:type="dcterms:W3CDTF">2012-07-25T19:45:00Z</dcterms:created>
  <dcterms:modified xsi:type="dcterms:W3CDTF">2012-07-25T20:13:00Z</dcterms:modified>
</cp:coreProperties>
</file>